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709" w:right="0" w:firstLine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ESTATUTOS DE LA ASOCIACIÓN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San Vicente por Gijó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1.-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constituye, la asociación JES sin ánimo de lucro con el nombre: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San vicente por Gijón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dentro del programa Jóvenes Emprendedores Sociales con las normas que se establecen en los presentes estatutos.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2.-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domicilio radicará en el centro educativo:San vicente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paúl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Dirección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:Calle Caridad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ámbito donde realizará sus actividades 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el centro educativo.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3.-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asociación JES se constituye el dí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año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hasta el día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Asociación Juvenil tiene los siguientes fines,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ayudar económicamente a la asociación ningún niño sin cenar.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5.-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el cumplimiento de estos fines se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realizarán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 siguientes actividades: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Sorteo.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Kiosko.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Torneo de ping pong.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Torneo de oscarball.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Torneo de fortnite.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6.-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Junta Directiva representará y se responsabilizará de la gestión de la asociación.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Presidente/a:Laura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Secretario/a:Rebeca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tesorero/a:Hugo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7.-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Junta Directiva estará formada por un Presidente/a(Laura),  un Secretario/a(Rebeca) y un Tesorero/a(Hugo).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8.-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buscarán fondos para realizar la actividad en colaboración con una ONG llamad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ningún niño sin cenar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9.-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tesorero/a presentará las cuentas cada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semanas.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10.-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Cada socio/a de la asociación hará una aportación inicial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616" w:top="3686" w:left="1418" w:right="1418" w:header="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18" w:right="1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937500" cy="93599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7500" cy="935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18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644130" cy="23336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4130" cy="2333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