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48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222222"/>
          <w:sz w:val="36"/>
          <w:highlight w:val="white"/>
          <w:rtl w:val="0"/>
        </w:rPr>
        <w:t xml:space="preserve">CÀRRECS DE LA COOPERATIVA</w:t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Amb data 6 de novembre es presenten els candidats per cadascun dels càrrecs i s’escullen de manera democràtica. </w:t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PRESIDENTS: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1440" w:hanging="359"/>
        <w:contextualSpacing w:val="1"/>
        <w:jc w:val="both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Núria Fillol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1440" w:hanging="359"/>
        <w:contextualSpacing w:val="1"/>
        <w:jc w:val="both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Sergi Trilla</w:t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SECRETARIS: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1440" w:hanging="359"/>
        <w:contextualSpacing w:val="1"/>
        <w:jc w:val="both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Clàudia Roca 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1440" w:hanging="359"/>
        <w:contextualSpacing w:val="1"/>
        <w:jc w:val="both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Noa Macias</w:t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TRESORERS: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1440" w:hanging="359"/>
        <w:contextualSpacing w:val="1"/>
        <w:jc w:val="both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Ivonne Montero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1440" w:hanging="359"/>
        <w:contextualSpacing w:val="1"/>
        <w:jc w:val="both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Marc Puig</w:t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135" w:firstLine="285"/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