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color w:val="222222"/>
          <w:sz w:val="36"/>
          <w:highlight w:val="white"/>
          <w:rtl w:val="0"/>
        </w:rPr>
        <w:t xml:space="preserve">ESTATUTS COOPERATIVA “ELS MUSSOLS TREBALLADORS”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Article 1. Nom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L’empresa funcionarà amb el nom de </w:t>
      </w: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Mussols Treballadors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.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Article 2. Objecte social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La nostra empresa té l’activitat següent: </w:t>
      </w: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Dissenyar, fer i vendre productes artesenals i elaborats pels socis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.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Article 3. Durada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L’empresa es constitueix el dia 13 de novembre de 2014 fins al 22 de juny de 2015.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Article 4. Domicili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El domicili queda establert a </w:t>
      </w: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Sant Quirze del Vallés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 Carrer </w:t>
      </w: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Frederica Montseny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s/n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Article 5. El capital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El capital d’inversió es fixa en </w:t>
      </w: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110 €.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Es divideix en 22 participacions de 5 euros per a cada soci/a.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Article 6. Els comptes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Els informes de comptes s’han de presentar als socis cada 7 dies.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Article 7. Recuperació de l’inversió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Un cop finalitzada la venta, tots els socis deixaran el capital inicial per tal de poder participar en una activitat conjunta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Article 8. Utilizació dels beneficis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Amb els beneficis obtinguts tots els socis faran una activitat conjunta que es decidirà en funció dels beneficis obtinguts.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Signatura de tots i totes els socis i sòcies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