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F" w:rsidRPr="00F551B4" w:rsidRDefault="00F551B4" w:rsidP="00F551B4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Y</w:t>
      </w:r>
      <w:r w:rsidR="00962D2F" w:rsidRPr="00962D2F">
        <w:rPr>
          <w:b/>
          <w:sz w:val="40"/>
        </w:rPr>
        <w:t>OUTHBOX</w:t>
      </w:r>
    </w:p>
    <w:p w:rsidR="00694AE8" w:rsidRPr="00694AE8" w:rsidRDefault="00694AE8" w:rsidP="00694AE8">
      <w:pPr>
        <w:jc w:val="both"/>
        <w:rPr>
          <w:b/>
          <w:sz w:val="28"/>
          <w:u w:val="single"/>
        </w:rPr>
      </w:pPr>
      <w:r w:rsidRPr="00694AE8">
        <w:rPr>
          <w:b/>
          <w:sz w:val="28"/>
          <w:u w:val="single"/>
        </w:rPr>
        <w:t>Información general</w:t>
      </w:r>
    </w:p>
    <w:p w:rsidR="00694AE8" w:rsidRDefault="002C22D6" w:rsidP="00694AE8">
      <w:pPr>
        <w:pStyle w:val="Prrafodelista"/>
        <w:numPr>
          <w:ilvl w:val="0"/>
          <w:numId w:val="1"/>
        </w:numPr>
        <w:jc w:val="both"/>
      </w:pPr>
      <w:r w:rsidRPr="00694AE8">
        <w:rPr>
          <w:b/>
          <w:u w:val="single"/>
        </w:rPr>
        <w:t>Denominación social</w:t>
      </w:r>
      <w:r w:rsidR="00694AE8">
        <w:t xml:space="preserve">: </w:t>
      </w:r>
      <w:proofErr w:type="spellStart"/>
      <w:r w:rsidR="00694AE8">
        <w:t>Youthbox</w:t>
      </w:r>
      <w:proofErr w:type="spellEnd"/>
      <w:r w:rsidR="00694AE8">
        <w:t xml:space="preserve"> .</w:t>
      </w:r>
      <w:proofErr w:type="spellStart"/>
      <w:r w:rsidR="00694AE8">
        <w:t>Coop</w:t>
      </w:r>
      <w:proofErr w:type="spellEnd"/>
    </w:p>
    <w:p w:rsidR="002C22D6" w:rsidRDefault="002C22D6" w:rsidP="00C607FF">
      <w:pPr>
        <w:pStyle w:val="Prrafodelista"/>
        <w:numPr>
          <w:ilvl w:val="0"/>
          <w:numId w:val="1"/>
        </w:numPr>
        <w:jc w:val="both"/>
      </w:pPr>
      <w:r w:rsidRPr="00694AE8">
        <w:rPr>
          <w:b/>
          <w:u w:val="single"/>
        </w:rPr>
        <w:t>Domicilio social</w:t>
      </w:r>
      <w:r>
        <w:t>: C/Museo de la Huerta, S/N, Alcantarilla, 30820, Murcia, España.</w:t>
      </w:r>
    </w:p>
    <w:p w:rsidR="002C22D6" w:rsidRDefault="002C22D6" w:rsidP="00C607FF">
      <w:pPr>
        <w:pStyle w:val="Prrafodelista"/>
        <w:numPr>
          <w:ilvl w:val="0"/>
          <w:numId w:val="1"/>
        </w:numPr>
        <w:jc w:val="both"/>
      </w:pPr>
      <w:r w:rsidRPr="00694AE8">
        <w:rPr>
          <w:b/>
          <w:u w:val="single"/>
        </w:rPr>
        <w:t>Tipo de actividad:</w:t>
      </w:r>
      <w:r>
        <w:t xml:space="preserve"> Empresa de comercialización de bienes y/o mercancías.</w:t>
      </w:r>
    </w:p>
    <w:p w:rsidR="002C22D6" w:rsidRDefault="002C22D6" w:rsidP="00C607FF">
      <w:pPr>
        <w:pStyle w:val="Prrafodelista"/>
        <w:numPr>
          <w:ilvl w:val="0"/>
          <w:numId w:val="1"/>
        </w:numPr>
        <w:jc w:val="both"/>
      </w:pPr>
      <w:r w:rsidRPr="00694AE8">
        <w:rPr>
          <w:b/>
          <w:u w:val="single"/>
        </w:rPr>
        <w:t>Duración:</w:t>
      </w:r>
      <w:r>
        <w:t xml:space="preserve"> 9 meses</w:t>
      </w:r>
    </w:p>
    <w:p w:rsidR="002C22D6" w:rsidRDefault="002C22D6" w:rsidP="00C607FF">
      <w:pPr>
        <w:pStyle w:val="Prrafodelista"/>
        <w:numPr>
          <w:ilvl w:val="0"/>
          <w:numId w:val="1"/>
        </w:numPr>
        <w:jc w:val="both"/>
      </w:pPr>
      <w:r w:rsidRPr="00694AE8">
        <w:rPr>
          <w:b/>
          <w:u w:val="single"/>
        </w:rPr>
        <w:t>Objeto social:</w:t>
      </w:r>
      <w:r>
        <w:t xml:space="preserve"> consiste en la producción y comercialización de cajas sorpresa al por menor. Nuestras cajas ofrecen productos diversos dependiendo de la temática que el consumidor pida. Satisfacemos la necesidad del segmento al que va dirigido.</w:t>
      </w:r>
      <w:r w:rsidR="00694AE8">
        <w:t xml:space="preserve"> Además ofreceremos otras actividades que puedan complementar y ayudar a la comercialización de este producto.</w:t>
      </w:r>
    </w:p>
    <w:p w:rsidR="00C607FF" w:rsidRDefault="00C607FF" w:rsidP="00C607FF">
      <w:pPr>
        <w:jc w:val="both"/>
        <w:rPr>
          <w:b/>
          <w:sz w:val="28"/>
          <w:u w:val="single"/>
        </w:rPr>
      </w:pPr>
    </w:p>
    <w:p w:rsidR="00C607FF" w:rsidRPr="00C607FF" w:rsidRDefault="00C607FF" w:rsidP="00C607FF">
      <w:pPr>
        <w:jc w:val="both"/>
        <w:rPr>
          <w:b/>
          <w:sz w:val="28"/>
          <w:u w:val="single"/>
        </w:rPr>
      </w:pPr>
      <w:r w:rsidRPr="00C607FF">
        <w:rPr>
          <w:b/>
          <w:sz w:val="28"/>
          <w:u w:val="single"/>
        </w:rPr>
        <w:t>Órganos de representación</w:t>
      </w:r>
    </w:p>
    <w:p w:rsidR="00C607FF" w:rsidRPr="00C607FF" w:rsidRDefault="00C607FF" w:rsidP="00C607FF">
      <w:pPr>
        <w:jc w:val="both"/>
        <w:rPr>
          <w:b/>
          <w:sz w:val="24"/>
          <w:szCs w:val="24"/>
        </w:rPr>
      </w:pPr>
      <w:r w:rsidRPr="00C607FF">
        <w:rPr>
          <w:b/>
          <w:sz w:val="24"/>
          <w:szCs w:val="24"/>
        </w:rPr>
        <w:t>Presidenta</w:t>
      </w:r>
      <w:r w:rsidRPr="00C607FF">
        <w:rPr>
          <w:sz w:val="24"/>
          <w:szCs w:val="24"/>
        </w:rPr>
        <w:t xml:space="preserve">: Marta Puig </w:t>
      </w:r>
      <w:proofErr w:type="spellStart"/>
      <w:r w:rsidRPr="00C607FF">
        <w:rPr>
          <w:sz w:val="24"/>
          <w:szCs w:val="24"/>
        </w:rPr>
        <w:t>Gambín</w:t>
      </w:r>
      <w:proofErr w:type="spellEnd"/>
    </w:p>
    <w:p w:rsidR="00C607FF" w:rsidRDefault="00C607FF" w:rsidP="00C607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Secretario</w:t>
      </w:r>
      <w:r>
        <w:rPr>
          <w:sz w:val="24"/>
          <w:szCs w:val="24"/>
        </w:rPr>
        <w:t xml:space="preserve">: Rubén García Hidalgo </w:t>
      </w:r>
    </w:p>
    <w:p w:rsidR="00C607FF" w:rsidRDefault="00C607FF" w:rsidP="00C607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Tesorero</w:t>
      </w:r>
      <w:r>
        <w:rPr>
          <w:sz w:val="24"/>
          <w:szCs w:val="24"/>
        </w:rPr>
        <w:t>: Antonio López Moreno</w:t>
      </w:r>
    </w:p>
    <w:p w:rsidR="00C607FF" w:rsidRPr="00C607FF" w:rsidRDefault="00C607FF" w:rsidP="00C607FF">
      <w:pPr>
        <w:pStyle w:val="Prrafodelista"/>
        <w:numPr>
          <w:ilvl w:val="0"/>
          <w:numId w:val="4"/>
        </w:numPr>
        <w:shd w:val="clear" w:color="auto" w:fill="FFFFFF"/>
        <w:spacing w:line="273" w:lineRule="atLeast"/>
        <w:jc w:val="both"/>
        <w:rPr>
          <w:sz w:val="24"/>
          <w:szCs w:val="24"/>
        </w:rPr>
      </w:pPr>
      <w:r w:rsidRPr="00C607FF">
        <w:rPr>
          <w:b/>
          <w:sz w:val="24"/>
          <w:szCs w:val="24"/>
        </w:rPr>
        <w:t>2. Funciones</w:t>
      </w:r>
      <w:r w:rsidRPr="00C607FF">
        <w:rPr>
          <w:sz w:val="24"/>
          <w:szCs w:val="24"/>
        </w:rPr>
        <w:t>: La responsabilidad de la gestión recae sobre el Consejo Rector, formado por una presidenta, un secretario y un tesorero.</w:t>
      </w:r>
    </w:p>
    <w:p w:rsidR="00C607FF" w:rsidRDefault="00C607FF" w:rsidP="00C607FF">
      <w:pPr>
        <w:shd w:val="clear" w:color="auto" w:fill="FFFFFF"/>
        <w:spacing w:line="27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presidenta</w:t>
      </w:r>
      <w:r>
        <w:rPr>
          <w:sz w:val="24"/>
          <w:szCs w:val="24"/>
        </w:rPr>
        <w:t xml:space="preserve"> es la encargada de:</w:t>
      </w:r>
    </w:p>
    <w:p w:rsidR="00C607FF" w:rsidRDefault="00C607FF" w:rsidP="00694AE8">
      <w:pPr>
        <w:shd w:val="clear" w:color="auto" w:fill="FFFFFF"/>
        <w:spacing w:line="273" w:lineRule="atLeast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Es  la Representante Legal de la Cooperativa en todos sus actos.</w:t>
      </w:r>
    </w:p>
    <w:p w:rsidR="00C607FF" w:rsidRDefault="00C607FF" w:rsidP="00694AE8">
      <w:pPr>
        <w:shd w:val="clear" w:color="auto" w:fill="FFFFFF"/>
        <w:spacing w:line="273" w:lineRule="atLeast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Vigila el fiel cumplimiento del Estatuto, las resoluciones del Consejo Rector y de la Asamblea.</w:t>
      </w:r>
    </w:p>
    <w:p w:rsidR="00C607FF" w:rsidRDefault="00C607FF" w:rsidP="00694AE8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Firma con el Secretario las Actas del Consejo Rector.</w:t>
      </w: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El</w:t>
      </w:r>
      <w:r>
        <w:rPr>
          <w:rFonts w:eastAsia="Times New Roman" w:cs="Times New Roman"/>
          <w:sz w:val="24"/>
          <w:szCs w:val="24"/>
          <w:u w:val="single"/>
          <w:lang w:eastAsia="es-ES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secretario</w:t>
      </w:r>
      <w:r>
        <w:rPr>
          <w:rFonts w:eastAsia="Times New Roman" w:cs="Times New Roman"/>
          <w:sz w:val="24"/>
          <w:szCs w:val="24"/>
          <w:u w:val="single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>es el encargado de:</w:t>
      </w: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Refrendar  los Documentos sociales autorizados por el presidente.</w:t>
      </w: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Redactar las Actas de Asamblea. Redactar las memorias.</w:t>
      </w: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Llevar los libros de actas del Consejo y de reuniones de asamblea.</w:t>
      </w: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- Firmar con el Presidente y el Tesorero los documentos previamente autorizados por el Consejo que importen obligación de pago o contrato que obligue a la Cooperativa.</w:t>
      </w:r>
    </w:p>
    <w:p w:rsidR="00C607FF" w:rsidRDefault="00C607FF" w:rsidP="00966E5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- Firmar con el Presidente y el Tesorero las memorias y los balances.</w:t>
      </w: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El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 tesorero</w:t>
      </w:r>
      <w:r>
        <w:rPr>
          <w:rFonts w:eastAsia="Times New Roman" w:cs="Times New Roman"/>
          <w:sz w:val="24"/>
          <w:szCs w:val="24"/>
          <w:lang w:eastAsia="es-ES"/>
        </w:rPr>
        <w:t xml:space="preserve"> es el encargado de:</w:t>
      </w:r>
    </w:p>
    <w:p w:rsidR="00C607FF" w:rsidRDefault="00C607FF" w:rsidP="00C607FF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F551B4" w:rsidRDefault="00F551B4" w:rsidP="00C607FF">
      <w:pPr>
        <w:jc w:val="both"/>
        <w:rPr>
          <w:sz w:val="24"/>
          <w:szCs w:val="24"/>
        </w:rPr>
      </w:pPr>
    </w:p>
    <w:p w:rsidR="00C607FF" w:rsidRDefault="00C607FF" w:rsidP="00C607FF">
      <w:pPr>
        <w:jc w:val="both"/>
        <w:rPr>
          <w:sz w:val="24"/>
          <w:szCs w:val="24"/>
        </w:rPr>
      </w:pPr>
      <w:r>
        <w:rPr>
          <w:sz w:val="24"/>
          <w:szCs w:val="24"/>
        </w:rPr>
        <w:t>-Custodia de</w:t>
      </w:r>
      <w:r w:rsidR="00966E5D">
        <w:rPr>
          <w:sz w:val="24"/>
          <w:szCs w:val="24"/>
        </w:rPr>
        <w:t>l efectivo y de los documentos de derechos y obligaciones económicos</w:t>
      </w:r>
      <w:r>
        <w:rPr>
          <w:sz w:val="24"/>
          <w:szCs w:val="24"/>
        </w:rPr>
        <w:t xml:space="preserve"> de la Cooperativa.</w:t>
      </w:r>
    </w:p>
    <w:p w:rsidR="00C607FF" w:rsidRDefault="00C607FF" w:rsidP="00C60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Llevar el registro de asociados.</w:t>
      </w:r>
    </w:p>
    <w:p w:rsidR="00C607FF" w:rsidRDefault="00C607FF" w:rsidP="00C607FF">
      <w:pPr>
        <w:jc w:val="both"/>
        <w:rPr>
          <w:sz w:val="24"/>
          <w:szCs w:val="24"/>
        </w:rPr>
      </w:pPr>
      <w:r>
        <w:rPr>
          <w:sz w:val="24"/>
          <w:szCs w:val="24"/>
        </w:rPr>
        <w:t>- Efectuar los pagos autorizados mensualmente de Tesorería.</w:t>
      </w:r>
    </w:p>
    <w:p w:rsidR="00C607FF" w:rsidRDefault="00C607FF" w:rsidP="00C607FF">
      <w:pPr>
        <w:jc w:val="both"/>
        <w:rPr>
          <w:sz w:val="24"/>
          <w:szCs w:val="24"/>
        </w:rPr>
      </w:pPr>
      <w:r>
        <w:rPr>
          <w:sz w:val="24"/>
          <w:szCs w:val="24"/>
        </w:rPr>
        <w:t>- Firmar con el Presidente y el Secretario las memorias y los balances.</w:t>
      </w:r>
    </w:p>
    <w:p w:rsidR="00A86DD3" w:rsidRDefault="00C607FF" w:rsidP="00C607FF">
      <w:pPr>
        <w:jc w:val="both"/>
        <w:rPr>
          <w:sz w:val="24"/>
          <w:szCs w:val="24"/>
        </w:rPr>
      </w:pPr>
      <w:r w:rsidRPr="00A86DD3">
        <w:rPr>
          <w:b/>
          <w:sz w:val="24"/>
          <w:szCs w:val="24"/>
          <w:u w:val="single"/>
        </w:rPr>
        <w:t>Elección</w:t>
      </w:r>
      <w:r>
        <w:rPr>
          <w:sz w:val="24"/>
          <w:szCs w:val="24"/>
        </w:rPr>
        <w:t>: los miembros de la cooperativa eligen a</w:t>
      </w:r>
      <w:r w:rsidR="00966E5D">
        <w:rPr>
          <w:sz w:val="24"/>
          <w:szCs w:val="24"/>
        </w:rPr>
        <w:t>l</w:t>
      </w:r>
      <w:r>
        <w:rPr>
          <w:sz w:val="24"/>
          <w:szCs w:val="24"/>
        </w:rPr>
        <w:t xml:space="preserve"> equipo rector </w:t>
      </w:r>
      <w:r w:rsidR="00966E5D">
        <w:rPr>
          <w:sz w:val="24"/>
          <w:szCs w:val="24"/>
        </w:rPr>
        <w:t>por votación a través de la mayoría absoluta de los presen</w:t>
      </w:r>
      <w:r w:rsidR="00A86DD3">
        <w:rPr>
          <w:sz w:val="24"/>
          <w:szCs w:val="24"/>
        </w:rPr>
        <w:t>tes, convocados mediante una asamblea general extrao</w:t>
      </w:r>
      <w:r w:rsidR="00901B9A">
        <w:rPr>
          <w:sz w:val="24"/>
          <w:szCs w:val="24"/>
        </w:rPr>
        <w:t>r</w:t>
      </w:r>
      <w:r w:rsidR="00A86DD3">
        <w:rPr>
          <w:sz w:val="24"/>
          <w:szCs w:val="24"/>
        </w:rPr>
        <w:t>dinaria.</w:t>
      </w:r>
    </w:p>
    <w:p w:rsidR="00C607FF" w:rsidRDefault="00C607FF" w:rsidP="00C607FF">
      <w:pPr>
        <w:jc w:val="both"/>
        <w:rPr>
          <w:b/>
          <w:sz w:val="28"/>
          <w:u w:val="single"/>
        </w:rPr>
      </w:pPr>
    </w:p>
    <w:p w:rsidR="00C607FF" w:rsidRPr="00C607FF" w:rsidRDefault="00C607FF" w:rsidP="00C607FF">
      <w:pPr>
        <w:jc w:val="both"/>
        <w:rPr>
          <w:b/>
          <w:sz w:val="28"/>
          <w:u w:val="single"/>
        </w:rPr>
      </w:pPr>
      <w:r w:rsidRPr="00C607FF">
        <w:rPr>
          <w:b/>
          <w:sz w:val="28"/>
          <w:u w:val="single"/>
        </w:rPr>
        <w:t>Para ser socio es necesario cumplir los siguientes requisitos: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>Ser alumno/a de 2º de Bachiller y cursar la materia de Fundamentos de Administración y Gestión, adquiriendo el compromiso de contribuir activamente al desarrollo de la actividad y con el debido respeto a las reglas de funcionamiento.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>Cada uno de los miembros debe realizar una aportación mínima obligatoria de capital, correspondiente a diez euros, que hace que los socios se comprometan a alcanzar los objetivos de la cooperativa y a respetar las reglas de funcionamiento.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 xml:space="preserve">Una vez realizada la aportación el miembro recibirá un certificado firmado por el </w:t>
      </w:r>
      <w:r w:rsidR="00A86DD3">
        <w:rPr>
          <w:sz w:val="24"/>
          <w:szCs w:val="24"/>
        </w:rPr>
        <w:t>Tesorero</w:t>
      </w:r>
      <w:r w:rsidRPr="00C607FF">
        <w:rPr>
          <w:sz w:val="24"/>
          <w:szCs w:val="24"/>
        </w:rPr>
        <w:t xml:space="preserve"> de la cooperativa, que le acredita su condición de socio/a la cual es personal e intransferible.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>El hecho de realizar la aportación inicial es condición necesaria pero no suficiente</w:t>
      </w:r>
      <w:r w:rsidR="00A86DD3">
        <w:rPr>
          <w:sz w:val="24"/>
          <w:szCs w:val="24"/>
        </w:rPr>
        <w:t xml:space="preserve"> (incluido en el apartado “disolución de estos estatutos”)</w:t>
      </w:r>
      <w:r w:rsidRPr="00C607FF">
        <w:rPr>
          <w:sz w:val="24"/>
          <w:szCs w:val="24"/>
        </w:rPr>
        <w:t xml:space="preserve"> para optar a la devolución del capital social y a la distribución de excedentes.</w:t>
      </w:r>
      <w:r w:rsidR="00A86DD3">
        <w:rPr>
          <w:sz w:val="24"/>
          <w:szCs w:val="24"/>
        </w:rPr>
        <w:t xml:space="preserve"> </w:t>
      </w:r>
      <w:r w:rsidRPr="00C607FF">
        <w:rPr>
          <w:sz w:val="24"/>
          <w:szCs w:val="24"/>
        </w:rPr>
        <w:t xml:space="preserve"> 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La devolución de la aportación se realizará a final de curso una vez satisfechas todas las deudas contraídas por la cooperativa.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>La condición de socio de “</w:t>
      </w:r>
      <w:proofErr w:type="spellStart"/>
      <w:r w:rsidRPr="00C607FF">
        <w:rPr>
          <w:sz w:val="24"/>
          <w:szCs w:val="24"/>
        </w:rPr>
        <w:t>Youthbox</w:t>
      </w:r>
      <w:proofErr w:type="spellEnd"/>
      <w:r w:rsidRPr="00C607FF">
        <w:rPr>
          <w:sz w:val="24"/>
          <w:szCs w:val="24"/>
        </w:rPr>
        <w:t xml:space="preserve"> S. </w:t>
      </w:r>
      <w:proofErr w:type="spellStart"/>
      <w:r w:rsidRPr="00C607FF">
        <w:rPr>
          <w:sz w:val="24"/>
          <w:szCs w:val="24"/>
        </w:rPr>
        <w:t>Coop</w:t>
      </w:r>
      <w:proofErr w:type="spellEnd"/>
      <w:r w:rsidRPr="00C607FF">
        <w:rPr>
          <w:sz w:val="24"/>
          <w:szCs w:val="24"/>
        </w:rPr>
        <w:t>” otorga los siguientes derechos:</w:t>
      </w:r>
    </w:p>
    <w:p w:rsidR="00C607FF" w:rsidRPr="00A86DD3" w:rsidRDefault="00C607FF" w:rsidP="00C607F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Participar en el objeto social de la cooperativa.</w:t>
      </w:r>
    </w:p>
    <w:p w:rsidR="00C607FF" w:rsidRPr="00A86DD3" w:rsidRDefault="00C607FF" w:rsidP="00C607F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Ser elector/a y elegible para los diversos cargos de la cooperativa.</w:t>
      </w:r>
    </w:p>
    <w:p w:rsidR="00C607FF" w:rsidRPr="00A86DD3" w:rsidRDefault="00C607FF" w:rsidP="00C607F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Participar con voz y voto en la adopción de acuerdos en la Asamblea General de cooperativistas y demás órganos sociales de los que cada socio/a forme parte.</w:t>
      </w:r>
    </w:p>
    <w:p w:rsidR="00C607FF" w:rsidRPr="00A86DD3" w:rsidRDefault="00C607FF" w:rsidP="00C607F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Obtener información sobre cualquier aspecto relevante de la marcha de la cooperativa.</w:t>
      </w:r>
    </w:p>
    <w:p w:rsidR="00C607FF" w:rsidRPr="00A86DD3" w:rsidRDefault="00C607FF" w:rsidP="00C607F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lastRenderedPageBreak/>
        <w:t>Participar en su caso, en los excedentes de la cooperativa, a partes iguales y/o en proporción al trabajo desarrollado.</w:t>
      </w:r>
    </w:p>
    <w:p w:rsidR="00C607FF" w:rsidRPr="00C607FF" w:rsidRDefault="00C607FF" w:rsidP="00C607F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607FF">
        <w:rPr>
          <w:sz w:val="24"/>
          <w:szCs w:val="24"/>
        </w:rPr>
        <w:t>Son deberes de los socios/as:</w:t>
      </w:r>
    </w:p>
    <w:p w:rsidR="00C607FF" w:rsidRPr="00A86DD3" w:rsidRDefault="00C607FF" w:rsidP="00C607F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Asistir a las reuniones de la Asamblea General de Cooperativistas que convoque el Consejo Rector.</w:t>
      </w:r>
    </w:p>
    <w:p w:rsidR="00C607FF" w:rsidRPr="00A86DD3" w:rsidRDefault="00C607FF" w:rsidP="00C607F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Participar en las deliberaciones de la Asamblea y acatar las decisiones adoptadas por la cooperativa de forma democrática.</w:t>
      </w:r>
    </w:p>
    <w:p w:rsidR="00C607FF" w:rsidRPr="00A86DD3" w:rsidRDefault="00C607FF" w:rsidP="00C607F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Aceptar los cargos sociales para los que sean nombrados y asumir las responsabilidades correspondientes.</w:t>
      </w:r>
    </w:p>
    <w:p w:rsidR="00C607FF" w:rsidRPr="00A86DD3" w:rsidRDefault="00C607FF" w:rsidP="00C607F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Participar en las actividades de formación realizadas en favor de la cooperativa.</w:t>
      </w:r>
    </w:p>
    <w:p w:rsidR="00A86DD3" w:rsidRDefault="00C607FF" w:rsidP="00A86DD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86DD3">
        <w:rPr>
          <w:sz w:val="24"/>
          <w:szCs w:val="24"/>
        </w:rPr>
        <w:t>Los socios no deberán acumular más de las tres cuartas partes de faltas de asistencia injustificadas en cada evaluación o serán expulsados inmediatamente de la cooperativa.</w:t>
      </w:r>
    </w:p>
    <w:p w:rsidR="00A86DD3" w:rsidRPr="00A86DD3" w:rsidRDefault="006F5D69" w:rsidP="00A86DD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Asistir y participar en el desarrollo de la cooperativa para posterior evaluación del coordinador de recursos humanos, cuyos aspectos positivos serán premiados y los negativos sancionados.</w:t>
      </w:r>
    </w:p>
    <w:p w:rsidR="00C607FF" w:rsidRDefault="00C607FF" w:rsidP="00C607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</w:p>
    <w:p w:rsidR="00C607FF" w:rsidRDefault="00C607FF" w:rsidP="00C607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</w:p>
    <w:p w:rsidR="00C607FF" w:rsidRDefault="00C607FF" w:rsidP="00C607F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C607FF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>Estatutos: Reuniones.</w:t>
      </w:r>
    </w:p>
    <w:p w:rsidR="00901B9A" w:rsidRDefault="00901B9A" w:rsidP="00901B9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</w:p>
    <w:p w:rsidR="00C607FF" w:rsidRPr="00A86DD3" w:rsidRDefault="00C607FF" w:rsidP="00901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86DD3">
        <w:rPr>
          <w:rFonts w:asciiTheme="minorHAnsi" w:eastAsiaTheme="minorHAnsi" w:hAnsiTheme="minorHAnsi" w:cstheme="minorBidi"/>
          <w:lang w:eastAsia="en-US"/>
        </w:rPr>
        <w:t>Mínimo de asistentes para la validez de una reunión; la presencia de 50% más 1. En caso de falta de asistencia de algún socio de la cooperativa, la reunión seguirá su curso natural. (importante cuidar la estética).</w:t>
      </w:r>
    </w:p>
    <w:p w:rsidR="00C607FF" w:rsidRPr="00A86DD3" w:rsidRDefault="00C607FF" w:rsidP="00901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86DD3">
        <w:rPr>
          <w:rFonts w:asciiTheme="minorHAnsi" w:eastAsiaTheme="minorHAnsi" w:hAnsiTheme="minorHAnsi" w:cstheme="minorBidi"/>
          <w:lang w:eastAsia="en-US"/>
        </w:rPr>
        <w:t>Para las reuniones extraordinarias se necesitará la presencia de la mayoría cualificada.</w:t>
      </w:r>
    </w:p>
    <w:p w:rsidR="00C607FF" w:rsidRPr="00A86DD3" w:rsidRDefault="00C607FF" w:rsidP="00901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86DD3">
        <w:rPr>
          <w:rFonts w:asciiTheme="minorHAnsi" w:eastAsiaTheme="minorHAnsi" w:hAnsiTheme="minorHAnsi" w:cstheme="minorBidi"/>
          <w:lang w:eastAsia="en-US"/>
        </w:rPr>
        <w:t>Las reuniones ordinarias se desarrollaran cada dos semanas (los jueves). En caso de necesidad se podrá convocar reuniones extraordinarias para debatir o solucionar asuntos de urgencia o prioridad.</w:t>
      </w:r>
    </w:p>
    <w:p w:rsidR="00C607FF" w:rsidRPr="00A86DD3" w:rsidRDefault="00901B9A" w:rsidP="00901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</w:t>
      </w:r>
      <w:r w:rsidR="00C607FF" w:rsidRPr="00A86DD3">
        <w:rPr>
          <w:rFonts w:asciiTheme="minorHAnsi" w:eastAsiaTheme="minorHAnsi" w:hAnsiTheme="minorHAnsi" w:cstheme="minorBidi"/>
          <w:lang w:eastAsia="en-US"/>
        </w:rPr>
        <w:t>n las reuniones ordinarias se trataran puntos correspondientes del día.</w:t>
      </w:r>
    </w:p>
    <w:p w:rsidR="00C607FF" w:rsidRPr="00A86DD3" w:rsidRDefault="00C607FF" w:rsidP="00901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86DD3">
        <w:rPr>
          <w:rFonts w:asciiTheme="minorHAnsi" w:eastAsiaTheme="minorHAnsi" w:hAnsiTheme="minorHAnsi" w:cstheme="minorBidi"/>
          <w:lang w:eastAsia="en-US"/>
        </w:rPr>
        <w:t>En las reuniones se tratarán puntos clave del desarrollo de la empresa.</w:t>
      </w:r>
    </w:p>
    <w:p w:rsidR="00C607FF" w:rsidRPr="00A86DD3" w:rsidRDefault="00C607FF" w:rsidP="00C607F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C607FF" w:rsidRDefault="00C607FF" w:rsidP="00C607F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</w:rPr>
      </w:pPr>
    </w:p>
    <w:p w:rsidR="00C607FF" w:rsidRDefault="00C607FF" w:rsidP="00C607FF">
      <w:pPr>
        <w:jc w:val="both"/>
        <w:rPr>
          <w:b/>
          <w:sz w:val="28"/>
          <w:u w:val="single"/>
        </w:rPr>
      </w:pPr>
    </w:p>
    <w:p w:rsidR="00C607FF" w:rsidRPr="00C607FF" w:rsidRDefault="00C607FF" w:rsidP="00C607FF">
      <w:pPr>
        <w:jc w:val="both"/>
        <w:rPr>
          <w:b/>
          <w:sz w:val="28"/>
          <w:u w:val="single"/>
        </w:rPr>
      </w:pPr>
      <w:r w:rsidRPr="00C607FF">
        <w:rPr>
          <w:b/>
          <w:sz w:val="28"/>
          <w:u w:val="single"/>
        </w:rPr>
        <w:t>Disolución y Liquidación de la Cooperativa</w:t>
      </w:r>
    </w:p>
    <w:p w:rsidR="00C607FF" w:rsidRPr="00901B9A" w:rsidRDefault="00901B9A" w:rsidP="00901B9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01B9A">
        <w:rPr>
          <w:sz w:val="24"/>
          <w:szCs w:val="24"/>
        </w:rPr>
        <w:t>CAUSAS DE LA DISOLUCIÓ</w:t>
      </w:r>
      <w:r w:rsidR="00C607FF" w:rsidRPr="00901B9A">
        <w:rPr>
          <w:sz w:val="24"/>
          <w:szCs w:val="24"/>
        </w:rPr>
        <w:t>N: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La cooperativa se disolverá al final del curso 2016/2017, una vez se haya completado el trabajo relativo al Proyecto EJE, así como por las demás causas establecidas en el artículo 70 de la Ley de Cooperativas.</w:t>
      </w:r>
    </w:p>
    <w:p w:rsidR="00901B9A" w:rsidRPr="00C607FF" w:rsidRDefault="00901B9A" w:rsidP="00C607FF">
      <w:pPr>
        <w:pStyle w:val="Prrafodelista"/>
        <w:jc w:val="both"/>
        <w:rPr>
          <w:sz w:val="24"/>
          <w:szCs w:val="24"/>
        </w:rPr>
      </w:pPr>
    </w:p>
    <w:p w:rsidR="00901B9A" w:rsidRDefault="00901B9A" w:rsidP="00901B9A">
      <w:pPr>
        <w:pStyle w:val="Prrafodelista"/>
        <w:jc w:val="both"/>
        <w:rPr>
          <w:sz w:val="24"/>
          <w:szCs w:val="24"/>
        </w:rPr>
      </w:pPr>
    </w:p>
    <w:p w:rsidR="00C607FF" w:rsidRPr="00901B9A" w:rsidRDefault="00901B9A" w:rsidP="00901B9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01B9A">
        <w:rPr>
          <w:sz w:val="24"/>
          <w:szCs w:val="24"/>
        </w:rPr>
        <w:t>LIQUIDACIÓ</w:t>
      </w:r>
      <w:r w:rsidR="00C607FF" w:rsidRPr="00901B9A">
        <w:rPr>
          <w:sz w:val="24"/>
          <w:szCs w:val="24"/>
        </w:rPr>
        <w:t>N:</w:t>
      </w:r>
    </w:p>
    <w:p w:rsidR="00F551B4" w:rsidRDefault="00F551B4" w:rsidP="00C607FF">
      <w:pPr>
        <w:pStyle w:val="Prrafodelista"/>
        <w:jc w:val="both"/>
        <w:rPr>
          <w:sz w:val="24"/>
          <w:szCs w:val="24"/>
        </w:rPr>
      </w:pP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1.- Disuelta la sociedad se abrirá el periodo de liquidación, excepto en los supuestos de fusión, absorción o escisión.                                                                                                                                Los liquidadores serán todos los cooperativistas pertenecientes a esta cooperativa, a no ser que algún socio haya sido sancionado con no tener poder de decisión en esta cooperativa.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2.-La liquidación y extinción de la cooperativa se ajustará a las normas establecidas en los artículos 71 a 76 de la Ley de Cooperativas.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-ADJUDICACION DEL HABER SOCIAL: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1.- No se podrá adjudicar ni repartir el haber social hasta que no se hayan satisfecho íntegramente las deudas sociales, se haya procedido a su consignación o se haya asegurado el pago de los créditos no vencidos.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2.- Satisfechas las deudas, el resto del haber social, sin perjuicio de lo pactado para la financiación subordinada, se adjudicará por el siguiente orden: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a) El 10% de los beneficios obtenidos al final del curso deberán ser entregados a alguna asociación social sin ánimo de lucro creada para ayudar a personas necesitadas, o será entregado a cualquier persona que verdaderamente lo necesite.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b) El 90% restante de los beneficios será repartido equitativamente entre todos los socios cooperativistas, a no ser, que algún cooperativista haya sido sancionado con la privación de obtener parte o el total de los beneficios correspondidos a su persona.</w:t>
      </w:r>
    </w:p>
    <w:p w:rsidR="00C607FF" w:rsidRPr="00C607FF" w:rsidRDefault="00C607FF" w:rsidP="00C607FF">
      <w:pPr>
        <w:pStyle w:val="Prrafodelista"/>
        <w:jc w:val="both"/>
        <w:rPr>
          <w:sz w:val="24"/>
          <w:szCs w:val="24"/>
        </w:rPr>
      </w:pPr>
      <w:r w:rsidRPr="00C607FF">
        <w:rPr>
          <w:sz w:val="24"/>
          <w:szCs w:val="24"/>
        </w:rPr>
        <w:t>c) Se reintegrará a los socios su participación en los fondos de reserva voluntarios.</w:t>
      </w:r>
    </w:p>
    <w:p w:rsidR="002C22D6" w:rsidRDefault="002C22D6" w:rsidP="002C22D6">
      <w:pPr>
        <w:pStyle w:val="Prrafodelista"/>
      </w:pPr>
    </w:p>
    <w:sectPr w:rsidR="002C22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7B" w:rsidRDefault="00AD2E7B" w:rsidP="00C607FF">
      <w:pPr>
        <w:spacing w:after="0" w:line="240" w:lineRule="auto"/>
      </w:pPr>
      <w:r>
        <w:separator/>
      </w:r>
    </w:p>
  </w:endnote>
  <w:endnote w:type="continuationSeparator" w:id="0">
    <w:p w:rsidR="00AD2E7B" w:rsidRDefault="00AD2E7B" w:rsidP="00C6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734182"/>
      <w:docPartObj>
        <w:docPartGallery w:val="Page Numbers (Bottom of Page)"/>
        <w:docPartUnique/>
      </w:docPartObj>
    </w:sdtPr>
    <w:sdtEndPr/>
    <w:sdtContent>
      <w:p w:rsidR="00C607FF" w:rsidRDefault="00C607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2">
          <w:rPr>
            <w:noProof/>
          </w:rPr>
          <w:t>1</w:t>
        </w:r>
        <w:r>
          <w:fldChar w:fldCharType="end"/>
        </w:r>
      </w:p>
    </w:sdtContent>
  </w:sdt>
  <w:p w:rsidR="00C607FF" w:rsidRDefault="00C60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7B" w:rsidRDefault="00AD2E7B" w:rsidP="00C607FF">
      <w:pPr>
        <w:spacing w:after="0" w:line="240" w:lineRule="auto"/>
      </w:pPr>
      <w:r>
        <w:separator/>
      </w:r>
    </w:p>
  </w:footnote>
  <w:footnote w:type="continuationSeparator" w:id="0">
    <w:p w:rsidR="00AD2E7B" w:rsidRDefault="00AD2E7B" w:rsidP="00C6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78" w:type="pct"/>
      <w:tblInd w:w="279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25"/>
    </w:tblGrid>
    <w:tr w:rsidR="00591AEA" w:rsidTr="00591AEA">
      <w:tc>
        <w:tcPr>
          <w:tcW w:w="5000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591AEA" w:rsidRDefault="00901B9A" w:rsidP="00F551B4">
          <w:pPr>
            <w:pStyle w:val="Encabezado"/>
            <w:ind w:left="4252"/>
            <w:jc w:val="both"/>
            <w:rPr>
              <w:color w:val="76923C" w:themeColor="accent3" w:themeShade="BF"/>
              <w:sz w:val="24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-482600</wp:posOffset>
                </wp:positionV>
                <wp:extent cx="1085850" cy="1038860"/>
                <wp:effectExtent l="0" t="0" r="0" b="889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3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1AEA"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ítulo"/>
              <w:id w:val="77625180"/>
              <w:placeholder>
                <w:docPart w:val="50022039F47448FBB136D712F6BAD14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91AEA">
                <w:rPr>
                  <w:b/>
                  <w:bCs/>
                  <w:caps/>
                  <w:sz w:val="24"/>
                </w:rPr>
                <w:t>Youthbox.coop</w:t>
              </w:r>
            </w:sdtContent>
          </w:sdt>
          <w:r w:rsidR="00591AEA"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962D2F" w:rsidRDefault="00962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84"/>
    <w:multiLevelType w:val="hybridMultilevel"/>
    <w:tmpl w:val="35E26F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16A90"/>
    <w:multiLevelType w:val="hybridMultilevel"/>
    <w:tmpl w:val="CB7CC95E"/>
    <w:lvl w:ilvl="0" w:tplc="0720D3EC">
      <w:start w:val="1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93A2E"/>
    <w:multiLevelType w:val="hybridMultilevel"/>
    <w:tmpl w:val="6AF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329"/>
    <w:multiLevelType w:val="hybridMultilevel"/>
    <w:tmpl w:val="C156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1B11"/>
    <w:multiLevelType w:val="multilevel"/>
    <w:tmpl w:val="236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10334"/>
    <w:multiLevelType w:val="hybridMultilevel"/>
    <w:tmpl w:val="B360F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2C33"/>
    <w:multiLevelType w:val="hybridMultilevel"/>
    <w:tmpl w:val="D4184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6A99"/>
    <w:multiLevelType w:val="hybridMultilevel"/>
    <w:tmpl w:val="AF2CB0A8"/>
    <w:lvl w:ilvl="0" w:tplc="B69C1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E4033"/>
    <w:multiLevelType w:val="hybridMultilevel"/>
    <w:tmpl w:val="FB6CFB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DB3E24"/>
    <w:multiLevelType w:val="hybridMultilevel"/>
    <w:tmpl w:val="6A76A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6"/>
    <w:rsid w:val="001D280E"/>
    <w:rsid w:val="002820BC"/>
    <w:rsid w:val="002C22D6"/>
    <w:rsid w:val="00406D6F"/>
    <w:rsid w:val="00591AEA"/>
    <w:rsid w:val="005D5845"/>
    <w:rsid w:val="00694AE8"/>
    <w:rsid w:val="006F5D69"/>
    <w:rsid w:val="00815B0D"/>
    <w:rsid w:val="00901B9A"/>
    <w:rsid w:val="00962D2F"/>
    <w:rsid w:val="00966E5D"/>
    <w:rsid w:val="00A44662"/>
    <w:rsid w:val="00A86DD3"/>
    <w:rsid w:val="00AB6170"/>
    <w:rsid w:val="00AD2E7B"/>
    <w:rsid w:val="00BF115E"/>
    <w:rsid w:val="00C607FF"/>
    <w:rsid w:val="00E948E2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2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6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FF"/>
  </w:style>
  <w:style w:type="paragraph" w:styleId="Piedepgina">
    <w:name w:val="footer"/>
    <w:basedOn w:val="Normal"/>
    <w:link w:val="PiedepginaCar"/>
    <w:uiPriority w:val="99"/>
    <w:unhideWhenUsed/>
    <w:rsid w:val="00C6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FF"/>
  </w:style>
  <w:style w:type="paragraph" w:styleId="Textodeglobo">
    <w:name w:val="Balloon Text"/>
    <w:basedOn w:val="Normal"/>
    <w:link w:val="TextodegloboCar"/>
    <w:uiPriority w:val="99"/>
    <w:semiHidden/>
    <w:unhideWhenUsed/>
    <w:rsid w:val="009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2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6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FF"/>
  </w:style>
  <w:style w:type="paragraph" w:styleId="Piedepgina">
    <w:name w:val="footer"/>
    <w:basedOn w:val="Normal"/>
    <w:link w:val="PiedepginaCar"/>
    <w:uiPriority w:val="99"/>
    <w:unhideWhenUsed/>
    <w:rsid w:val="00C6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FF"/>
  </w:style>
  <w:style w:type="paragraph" w:styleId="Textodeglobo">
    <w:name w:val="Balloon Text"/>
    <w:basedOn w:val="Normal"/>
    <w:link w:val="TextodegloboCar"/>
    <w:uiPriority w:val="99"/>
    <w:semiHidden/>
    <w:unhideWhenUsed/>
    <w:rsid w:val="009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22039F47448FBB136D712F6BA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C782-F426-489D-9CE8-3E22A9EDFED0}"/>
      </w:docPartPr>
      <w:docPartBody>
        <w:p w:rsidR="007055CB" w:rsidRDefault="00B87B2E" w:rsidP="00B87B2E">
          <w:pPr>
            <w:pStyle w:val="50022039F47448FBB136D712F6BAD149"/>
          </w:pPr>
          <w:r>
            <w:rPr>
              <w:b/>
              <w:bCs/>
              <w:caps/>
              <w:sz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4"/>
    <w:rsid w:val="00402F4D"/>
    <w:rsid w:val="007053C6"/>
    <w:rsid w:val="007055CB"/>
    <w:rsid w:val="00B87B2E"/>
    <w:rsid w:val="00BA53BB"/>
    <w:rsid w:val="00D53E94"/>
    <w:rsid w:val="00E90C4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5CD5DEFAE74EE595E7E6A87CB6B6AD">
    <w:name w:val="795CD5DEFAE74EE595E7E6A87CB6B6AD"/>
    <w:rsid w:val="00D53E94"/>
  </w:style>
  <w:style w:type="paragraph" w:customStyle="1" w:styleId="35169D11955A4390AFC8EBE408940E3D">
    <w:name w:val="35169D11955A4390AFC8EBE408940E3D"/>
    <w:rsid w:val="00D53E94"/>
  </w:style>
  <w:style w:type="paragraph" w:customStyle="1" w:styleId="50022039F47448FBB136D712F6BAD149">
    <w:name w:val="50022039F47448FBB136D712F6BAD149"/>
    <w:rsid w:val="00B87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5CD5DEFAE74EE595E7E6A87CB6B6AD">
    <w:name w:val="795CD5DEFAE74EE595E7E6A87CB6B6AD"/>
    <w:rsid w:val="00D53E94"/>
  </w:style>
  <w:style w:type="paragraph" w:customStyle="1" w:styleId="35169D11955A4390AFC8EBE408940E3D">
    <w:name w:val="35169D11955A4390AFC8EBE408940E3D"/>
    <w:rsid w:val="00D53E94"/>
  </w:style>
  <w:style w:type="paragraph" w:customStyle="1" w:styleId="50022039F47448FBB136D712F6BAD149">
    <w:name w:val="50022039F47448FBB136D712F6BAD149"/>
    <w:rsid w:val="00B87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30A-8334-423B-B104-AAE12D3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Youthbox.coop</dc:title>
  <dc:creator>Alumno</dc:creator>
  <cp:lastModifiedBy>usuario</cp:lastModifiedBy>
  <cp:revision>2</cp:revision>
  <dcterms:created xsi:type="dcterms:W3CDTF">2016-12-15T14:33:00Z</dcterms:created>
  <dcterms:modified xsi:type="dcterms:W3CDTF">2016-12-15T14:33:00Z</dcterms:modified>
</cp:coreProperties>
</file>