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8B" w:rsidRPr="009E2720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36"/>
          <w:szCs w:val="32"/>
          <w:u w:val="single"/>
        </w:rPr>
      </w:pPr>
      <w:r w:rsidRPr="009E2720">
        <w:rPr>
          <w:rFonts w:ascii="Tahoma" w:hAnsi="Tahoma" w:cs="Tahoma"/>
          <w:b/>
          <w:bCs/>
          <w:sz w:val="36"/>
          <w:szCs w:val="32"/>
          <w:u w:val="single"/>
        </w:rPr>
        <w:t>CAPÍTULO 1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32"/>
          <w:szCs w:val="32"/>
          <w:u w:val="single"/>
        </w:rPr>
      </w:pPr>
    </w:p>
    <w:p w:rsidR="007C318B" w:rsidRPr="009E2720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36"/>
          <w:szCs w:val="32"/>
          <w:u w:val="single"/>
        </w:rPr>
      </w:pPr>
      <w:r w:rsidRPr="009E2720">
        <w:rPr>
          <w:rFonts w:ascii="Tahoma" w:hAnsi="Tahoma" w:cs="Tahoma"/>
          <w:b/>
          <w:bCs/>
          <w:sz w:val="36"/>
          <w:szCs w:val="32"/>
          <w:u w:val="single"/>
        </w:rPr>
        <w:t>DENOMINACIÓN,</w:t>
      </w:r>
      <w:r w:rsidR="009E2720">
        <w:rPr>
          <w:rFonts w:ascii="Tahoma" w:hAnsi="Tahoma" w:cs="Tahoma"/>
          <w:b/>
          <w:bCs/>
          <w:sz w:val="36"/>
          <w:szCs w:val="32"/>
          <w:u w:val="single"/>
        </w:rPr>
        <w:t xml:space="preserve"> </w:t>
      </w:r>
      <w:r w:rsidRPr="009E2720">
        <w:rPr>
          <w:rFonts w:ascii="Tahoma" w:hAnsi="Tahoma" w:cs="Tahoma"/>
          <w:b/>
          <w:bCs/>
          <w:sz w:val="36"/>
          <w:szCs w:val="32"/>
          <w:u w:val="single"/>
        </w:rPr>
        <w:t>DOMICILIO,</w:t>
      </w:r>
      <w:r w:rsidR="009E2720">
        <w:rPr>
          <w:rFonts w:ascii="Tahoma" w:hAnsi="Tahoma" w:cs="Tahoma"/>
          <w:b/>
          <w:bCs/>
          <w:sz w:val="36"/>
          <w:szCs w:val="32"/>
          <w:u w:val="single"/>
        </w:rPr>
        <w:t xml:space="preserve"> </w:t>
      </w:r>
      <w:r w:rsidRPr="009E2720">
        <w:rPr>
          <w:rFonts w:ascii="Tahoma" w:hAnsi="Tahoma" w:cs="Tahoma"/>
          <w:b/>
          <w:bCs/>
          <w:sz w:val="36"/>
          <w:szCs w:val="32"/>
          <w:u w:val="single"/>
        </w:rPr>
        <w:t xml:space="preserve">ÁMBITO, </w:t>
      </w:r>
      <w:bookmarkStart w:id="0" w:name="_GoBack"/>
      <w:bookmarkEnd w:id="0"/>
      <w:r w:rsidRPr="009E2720">
        <w:rPr>
          <w:rFonts w:ascii="Tahoma" w:hAnsi="Tahoma" w:cs="Tahoma"/>
          <w:b/>
          <w:bCs/>
          <w:sz w:val="36"/>
          <w:szCs w:val="32"/>
          <w:u w:val="single"/>
        </w:rPr>
        <w:t>ACTIVIDADES Y DURACIÓN.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  <w:u w:val="single"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u w:val="single"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Artículo 1. Denominación y régimen legal.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Con el nombre "</w:t>
      </w:r>
      <w:proofErr w:type="spellStart"/>
      <w:r>
        <w:rPr>
          <w:rFonts w:ascii="Comic Sans MS" w:hAnsi="Comic Sans MS" w:cs="Comic Sans MS"/>
        </w:rPr>
        <w:t>Youngers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Creative</w:t>
      </w:r>
      <w:proofErr w:type="spellEnd"/>
      <w:r>
        <w:rPr>
          <w:rFonts w:ascii="Comic Sans MS" w:hAnsi="Comic Sans MS" w:cs="Comic Sans MS"/>
        </w:rPr>
        <w:t>”, construimos una Sociedad Cooperativa de Trabajo Asociado, con plena personalidad jurídica, creada dentro del proyecto educativo EMPRESA JOVEN EUROPEA (EJE).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Artículo 2. Domicilio social.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El domicilio social de “</w:t>
      </w:r>
      <w:proofErr w:type="spellStart"/>
      <w:r>
        <w:rPr>
          <w:rFonts w:ascii="Comic Sans MS" w:hAnsi="Comic Sans MS" w:cs="Comic Sans MS"/>
        </w:rPr>
        <w:t>Youngers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Creative</w:t>
      </w:r>
      <w:proofErr w:type="spellEnd"/>
      <w:r>
        <w:rPr>
          <w:rFonts w:ascii="Comic Sans MS" w:hAnsi="Comic Sans MS" w:cs="Comic Sans MS"/>
        </w:rPr>
        <w:t>” se encuentra en Plaza Santa Ana, 27 Miranda-Avilés-Asturias. CP. 33410. Colegio Santa Luisa de Marillac.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u w:val="single"/>
        </w:rPr>
      </w:pPr>
    </w:p>
    <w:p w:rsidR="007C318B" w:rsidRP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7C318B">
        <w:rPr>
          <w:rFonts w:ascii="Tahoma" w:hAnsi="Tahoma" w:cs="Tahoma"/>
          <w:b/>
          <w:bCs/>
          <w:sz w:val="28"/>
          <w:szCs w:val="28"/>
          <w:u w:val="single"/>
        </w:rPr>
        <w:t>Artículo 3. Actividad económica.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trike/>
        </w:rPr>
      </w:pPr>
    </w:p>
    <w:p w:rsidR="007C318B" w:rsidRP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 w:rsidRPr="007C318B">
        <w:rPr>
          <w:rFonts w:ascii="Comic Sans MS" w:hAnsi="Comic Sans MS" w:cs="Comic Sans MS"/>
        </w:rPr>
        <w:t>Las actividades económicas pensadas para cumplir con nuestro trabajo social, que desarrollará esta Cooperativa, son la compra-venta de diversos productos</w:t>
      </w:r>
      <w:r>
        <w:rPr>
          <w:rFonts w:ascii="Comic Sans MS" w:hAnsi="Comic Sans MS" w:cs="Comic Sans MS"/>
        </w:rPr>
        <w:t xml:space="preserve"> a una cooperativa de otra comunidad autónoma</w:t>
      </w:r>
      <w:r w:rsidRPr="007C318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para posteriormente presentarlos en un mercado. 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Artículo 4. Objetivo social.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El objetivo social se basa en:</w:t>
      </w:r>
    </w:p>
    <w:p w:rsidR="007C318B" w:rsidRDefault="007C318B" w:rsidP="00696578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Conocer y poner en práctica los valores de la cooperación:        tolerancia, fuerza, participación, compañerismo, igualdad, solidaridad…</w:t>
      </w:r>
    </w:p>
    <w:p w:rsidR="007C318B" w:rsidRDefault="007C318B" w:rsidP="00696578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Tomar decisiones de manera democrática.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Aprender a trabajar en equipo.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Aprender a asumir riesgos.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Artículo 5. Duración.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</w:rPr>
      </w:pP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La Cooperativa está establecida con un tiempo limitado, teniendo lugar en el mismo curso escolar, entre Septiembre 2013-Mayo 2014; fecha exacta de </w:t>
      </w:r>
      <w:r>
        <w:rPr>
          <w:rFonts w:ascii="Comic Sans MS" w:hAnsi="Comic Sans MS" w:cs="Comic Sans MS"/>
        </w:rPr>
        <w:lastRenderedPageBreak/>
        <w:t>finalizado con nuestra asistencia al mercado de EJE, que se situará en la plaza del Ayuntamiento de Avilés.</w:t>
      </w:r>
    </w:p>
    <w:p w:rsidR="007C318B" w:rsidRDefault="007C318B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</w:rPr>
      </w:pPr>
    </w:p>
    <w:p w:rsidR="007C318B" w:rsidRDefault="007C318B" w:rsidP="00696578">
      <w:pPr>
        <w:jc w:val="both"/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F81935" w:rsidRPr="009E2720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CAPÍTULO 2:</w:t>
      </w:r>
      <w:r w:rsidR="009E2720" w:rsidRPr="009E2720">
        <w:rPr>
          <w:rFonts w:ascii="Tahoma" w:hAnsi="Tahoma" w:cs="Tahoma"/>
          <w:sz w:val="32"/>
          <w:szCs w:val="32"/>
          <w:u w:val="single"/>
        </w:rPr>
        <w:t xml:space="preserve"> </w:t>
      </w:r>
      <w:r w:rsidRPr="009E2720">
        <w:rPr>
          <w:rFonts w:ascii="Tahoma" w:hAnsi="Tahoma" w:cs="Tahoma"/>
          <w:b/>
          <w:bCs/>
          <w:sz w:val="28"/>
          <w:szCs w:val="32"/>
          <w:u w:val="single"/>
        </w:rPr>
        <w:t>DE LOS SOCIOS.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u w:val="single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Artículo 6. Personas que pueden ser socios.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</w:rPr>
        <w:t>Pueden ser socios todos los alumnos/as de 4º ESO del Colegio Luisa de Marillac que cursen en la asignatura de EJE.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Artículo 7. Adquisición de la condición de socio trabajador</w:t>
      </w:r>
      <w:r>
        <w:rPr>
          <w:rFonts w:ascii="Comic Sans MS" w:hAnsi="Comic Sans MS" w:cs="Comic Sans MS"/>
          <w:b/>
          <w:bCs/>
          <w:u w:val="single"/>
        </w:rPr>
        <w:t>.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Para adquirir la condición de socio, será necesario: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</w:p>
    <w:p w:rsidR="00F81935" w:rsidRDefault="00F81935" w:rsidP="006965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Estar incluido en la relación de cooperativistas, que se expresan en la escritura de la constitución de la sociedad.</w:t>
      </w:r>
    </w:p>
    <w:p w:rsidR="00F81935" w:rsidRDefault="00F81935" w:rsidP="006965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Aportar las cantidades que se aprueben en la Asamblea General.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Artículo 8. Obligaciones de los socios trabajadores.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Los socios trabajadores están obligados a: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</w:p>
    <w:p w:rsidR="00F81935" w:rsidRDefault="00F81935" w:rsidP="0069657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Abonar la cantidad de las aportaciones establecidas.</w:t>
      </w:r>
    </w:p>
    <w:p w:rsidR="00F81935" w:rsidRDefault="00F81935" w:rsidP="0069657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Asistir a las reuniones de la Asamblea General.</w:t>
      </w:r>
    </w:p>
    <w:p w:rsidR="00F81935" w:rsidRDefault="00F81935" w:rsidP="0069657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Cumplir los acuerdos adoptados por los órganos sociales de la cooperativa.</w:t>
      </w:r>
    </w:p>
    <w:p w:rsidR="00F81935" w:rsidRDefault="00F81935" w:rsidP="0069657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Participar en las actividades que desarrolla la cooperativa mediante su personal de trabajo durante los días que fije la Asamblea General.</w:t>
      </w:r>
    </w:p>
    <w:p w:rsidR="00F81935" w:rsidRDefault="00F81935" w:rsidP="0069657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Aceptar los cargos para los que fuesen elegidos salvo una causa de lesión, enfermedad…</w:t>
      </w:r>
    </w:p>
    <w:p w:rsidR="00F81935" w:rsidRDefault="00F81935" w:rsidP="0069657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Participar en las actividades de formación profesional.</w:t>
      </w:r>
    </w:p>
    <w:p w:rsidR="00F81935" w:rsidRDefault="00F81935" w:rsidP="0069657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Cumplir los preceptos legales de estos estatutos.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Artículo 9. Derechos </w:t>
      </w:r>
      <w:proofErr w:type="gramStart"/>
      <w:r>
        <w:rPr>
          <w:rFonts w:ascii="Tahoma" w:hAnsi="Tahoma" w:cs="Tahoma"/>
          <w:b/>
          <w:bCs/>
          <w:sz w:val="28"/>
          <w:szCs w:val="28"/>
          <w:u w:val="single"/>
        </w:rPr>
        <w:t>de los socio-trabajadores</w:t>
      </w:r>
      <w:proofErr w:type="gramEnd"/>
      <w:r>
        <w:rPr>
          <w:rFonts w:ascii="Tahoma" w:hAnsi="Tahoma" w:cs="Tahoma"/>
          <w:b/>
          <w:bCs/>
          <w:sz w:val="28"/>
          <w:szCs w:val="28"/>
          <w:u w:val="single"/>
        </w:rPr>
        <w:t>.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Los sucios trabajadores tienen derecho a: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</w:p>
    <w:p w:rsidR="00F81935" w:rsidRDefault="00F81935" w:rsidP="0069657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Participar en la cooperativa de acuerdo con lo establecido en los estatutos.</w:t>
      </w:r>
    </w:p>
    <w:p w:rsidR="00F81935" w:rsidRDefault="00F81935" w:rsidP="0069657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Participar en la asamblea general con voz y voto.</w:t>
      </w:r>
    </w:p>
    <w:p w:rsidR="00F81935" w:rsidRDefault="00F81935" w:rsidP="0069657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Elegir y ser elegido para los cargos de la cooperativa.</w:t>
      </w:r>
    </w:p>
    <w:p w:rsidR="00F81935" w:rsidRDefault="00F81935" w:rsidP="0069657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Exigir información en los términos estatutariamente establecidos.</w:t>
      </w:r>
    </w:p>
    <w:p w:rsidR="00F81935" w:rsidRDefault="00F81935" w:rsidP="0069657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Participar en el retorno de excedentes.</w:t>
      </w:r>
    </w:p>
    <w:p w:rsidR="00F81935" w:rsidRDefault="00F81935" w:rsidP="0069657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Recibir el finiquito de su aportación en caso de disolución de la sociedad.</w:t>
      </w:r>
    </w:p>
    <w:p w:rsidR="00F81935" w:rsidRDefault="00F81935" w:rsidP="0069657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>Los derechos reconocidos serán ejercitados de acuerdo con las normas</w:t>
      </w:r>
      <w:r>
        <w:rPr>
          <w:rFonts w:ascii="Comic Sans MS" w:hAnsi="Comic Sans MS" w:cs="Comic Sans MS"/>
          <w:b/>
          <w:bCs/>
        </w:rPr>
        <w:t xml:space="preserve"> i</w:t>
      </w:r>
      <w:r>
        <w:rPr>
          <w:rFonts w:ascii="Comic Sans MS" w:hAnsi="Comic Sans MS" w:cs="Comic Sans MS"/>
        </w:rPr>
        <w:t>legales.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Artículo 10. Derecho de información.</w:t>
      </w:r>
    </w:p>
    <w:p w:rsidR="00F81935" w:rsidRDefault="00F81935" w:rsidP="0069657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</w:p>
    <w:p w:rsidR="00F81935" w:rsidRDefault="00F81935" w:rsidP="0069657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Los socios serán informados del contenido de los Estatutos Sociales.</w:t>
      </w:r>
    </w:p>
    <w:p w:rsidR="00F81935" w:rsidRPr="00F81935" w:rsidRDefault="00F81935" w:rsidP="0069657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</w:rPr>
      </w:pPr>
      <w:r w:rsidRPr="00F81935">
        <w:rPr>
          <w:rFonts w:ascii="Comic Sans MS" w:hAnsi="Comic Sans MS" w:cs="Comic Sans MS"/>
        </w:rPr>
        <w:t>Todo socio tiene acceso a los libros de registro de socios de la cooperativa</w:t>
      </w:r>
      <w:r>
        <w:rPr>
          <w:rFonts w:ascii="Comic Sans MS" w:hAnsi="Comic Sans MS" w:cs="Comic Sans MS"/>
        </w:rPr>
        <w:t>.</w:t>
      </w:r>
    </w:p>
    <w:p w:rsidR="00F81935" w:rsidRPr="00F81935" w:rsidRDefault="00F81935" w:rsidP="0069657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</w:rPr>
      </w:pPr>
      <w:r w:rsidRPr="00F81935">
        <w:rPr>
          <w:rFonts w:ascii="Comic Sans MS" w:hAnsi="Comic Sans MS" w:cs="Comic Sans MS"/>
        </w:rPr>
        <w:t>Todo socio tiene derecho a que se le muestre el estado de la situación económica de la cooperativa</w:t>
      </w:r>
      <w:r w:rsidRPr="00F81935">
        <w:rPr>
          <w:rFonts w:ascii="Comic Sans MS" w:hAnsi="Comic Sans MS" w:cs="Comic Sans MS"/>
          <w:b/>
          <w:bCs/>
        </w:rPr>
        <w:t>.</w:t>
      </w:r>
    </w:p>
    <w:p w:rsidR="00F81935" w:rsidRDefault="00F81935" w:rsidP="00696578">
      <w:pPr>
        <w:pStyle w:val="Default"/>
        <w:ind w:firstLine="105"/>
        <w:jc w:val="both"/>
        <w:rPr>
          <w:rFonts w:ascii="Comic Sans MS" w:hAnsi="Comic Sans MS" w:cs="Comic Sans MS"/>
          <w:b/>
          <w:bCs/>
          <w:sz w:val="23"/>
          <w:szCs w:val="23"/>
        </w:rPr>
      </w:pPr>
    </w:p>
    <w:p w:rsidR="00F81935" w:rsidRDefault="00F81935" w:rsidP="00696578">
      <w:pPr>
        <w:jc w:val="both"/>
        <w:rPr>
          <w:rFonts w:ascii="Comic Sans MS" w:hAnsi="Comic Sans MS"/>
          <w:b/>
          <w:sz w:val="28"/>
          <w:szCs w:val="32"/>
          <w:lang w:val="es-ES_tradnl"/>
        </w:rPr>
      </w:pPr>
      <w:r w:rsidRPr="00F81935">
        <w:rPr>
          <w:rFonts w:ascii="Tahoma" w:hAnsi="Tahoma" w:cs="Tahoma"/>
          <w:b/>
          <w:sz w:val="28"/>
          <w:szCs w:val="28"/>
          <w:u w:val="single"/>
          <w:lang w:val="es-ES_tradnl"/>
        </w:rPr>
        <w:t xml:space="preserve">Bajas: </w:t>
      </w:r>
      <w:r w:rsidRPr="00F81935">
        <w:rPr>
          <w:rFonts w:ascii="Tahoma" w:hAnsi="Tahoma" w:cs="Tahoma"/>
          <w:b/>
          <w:sz w:val="28"/>
          <w:szCs w:val="32"/>
          <w:u w:val="single"/>
          <w:lang w:val="es-ES_tradnl"/>
        </w:rPr>
        <w:t>Artículo 11:</w:t>
      </w:r>
      <w:r w:rsidRPr="00F81935">
        <w:rPr>
          <w:rFonts w:ascii="Comic Sans MS" w:hAnsi="Comic Sans MS"/>
          <w:b/>
          <w:sz w:val="28"/>
          <w:szCs w:val="32"/>
          <w:lang w:val="es-ES_tradnl"/>
        </w:rPr>
        <w:t xml:space="preserve"> </w:t>
      </w:r>
    </w:p>
    <w:p w:rsidR="00F81935" w:rsidRPr="00F81935" w:rsidRDefault="00F81935" w:rsidP="00696578">
      <w:pPr>
        <w:jc w:val="both"/>
        <w:rPr>
          <w:rFonts w:ascii="Tahoma" w:hAnsi="Tahoma" w:cs="Tahoma"/>
          <w:b/>
          <w:sz w:val="28"/>
          <w:szCs w:val="28"/>
          <w:u w:val="single"/>
          <w:lang w:val="es-ES_tradnl"/>
        </w:rPr>
      </w:pPr>
    </w:p>
    <w:p w:rsidR="00F81935" w:rsidRPr="00F81935" w:rsidRDefault="00F81935" w:rsidP="00696578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 w:rsidRPr="00F81935">
        <w:rPr>
          <w:rFonts w:ascii="Comic Sans MS" w:hAnsi="Comic Sans MS"/>
          <w:sz w:val="24"/>
          <w:szCs w:val="24"/>
          <w:lang w:val="es-ES_tradnl"/>
        </w:rPr>
        <w:t>No se admite la baja voluntaria de los socios de la cooperativa, dando permisividad de movilidad, es decir</w:t>
      </w:r>
      <w:r>
        <w:rPr>
          <w:rFonts w:ascii="Comic Sans MS" w:hAnsi="Comic Sans MS"/>
          <w:sz w:val="24"/>
          <w:szCs w:val="24"/>
          <w:lang w:val="es-ES_tradnl"/>
        </w:rPr>
        <w:t>, si pasado un periodo de tiempo</w:t>
      </w:r>
      <w:r w:rsidRPr="00F81935">
        <w:rPr>
          <w:rFonts w:ascii="Comic Sans MS" w:hAnsi="Comic Sans MS"/>
          <w:sz w:val="24"/>
          <w:szCs w:val="24"/>
          <w:lang w:val="es-ES_tradnl"/>
        </w:rPr>
        <w:t>(3 meses) un miembro no se siente cómodo desempeñando su función, podrá consultar con la cooperativa un cambio de puesto.</w:t>
      </w:r>
    </w:p>
    <w:p w:rsidR="00F81935" w:rsidRPr="00F81935" w:rsidRDefault="00F81935" w:rsidP="00696578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 w:rsidRPr="00F81935">
        <w:rPr>
          <w:rFonts w:ascii="Comic Sans MS" w:hAnsi="Comic Sans MS"/>
          <w:sz w:val="24"/>
          <w:szCs w:val="24"/>
          <w:lang w:val="es-ES_tradnl"/>
        </w:rPr>
        <w:t>Los miembros de la cooperativa que por cualquier circunstancia queden limitados física o psicológicamente de realizar sus funciones, podrán darse de baja durante un tiempo.</w:t>
      </w:r>
    </w:p>
    <w:p w:rsidR="00F81935" w:rsidRPr="00F81935" w:rsidRDefault="00F81935" w:rsidP="00696578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 w:rsidRPr="00F81935">
        <w:rPr>
          <w:rFonts w:ascii="Comic Sans MS" w:hAnsi="Comic Sans MS"/>
          <w:sz w:val="24"/>
          <w:szCs w:val="24"/>
          <w:lang w:val="es-ES_tradnl"/>
        </w:rPr>
        <w:t>Cualquier miembro de la cooperativa que durante el curso escolar abandone el colegio Luisa De Marillac será dado de baja permanente y obligatoriamente.</w:t>
      </w:r>
    </w:p>
    <w:p w:rsidR="009E2720" w:rsidRDefault="009E2720" w:rsidP="00696578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9E2720" w:rsidRDefault="009E2720" w:rsidP="00696578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F81935" w:rsidRDefault="00F81935" w:rsidP="00696578">
      <w:pPr>
        <w:jc w:val="both"/>
        <w:rPr>
          <w:rFonts w:ascii="Tahoma" w:hAnsi="Tahoma" w:cs="Tahoma"/>
          <w:b/>
          <w:sz w:val="28"/>
          <w:szCs w:val="28"/>
          <w:u w:val="single"/>
          <w:lang w:val="es-ES_tradnl"/>
        </w:rPr>
      </w:pPr>
      <w:r w:rsidRPr="009E2720">
        <w:rPr>
          <w:rFonts w:ascii="Tahoma" w:hAnsi="Tahoma" w:cs="Tahoma"/>
          <w:b/>
          <w:sz w:val="28"/>
          <w:szCs w:val="28"/>
          <w:u w:val="single"/>
          <w:lang w:val="es-ES_tradnl"/>
        </w:rPr>
        <w:lastRenderedPageBreak/>
        <w:t xml:space="preserve">Sanciones: </w:t>
      </w:r>
      <w:r w:rsidRPr="009E2720">
        <w:rPr>
          <w:rFonts w:ascii="Tahoma" w:hAnsi="Tahoma" w:cs="Tahoma"/>
          <w:b/>
          <w:sz w:val="28"/>
          <w:szCs w:val="28"/>
          <w:u w:val="single"/>
          <w:lang w:val="es-ES_tradnl"/>
        </w:rPr>
        <w:t>Artículo 12:</w:t>
      </w:r>
    </w:p>
    <w:p w:rsidR="009E2720" w:rsidRPr="009E2720" w:rsidRDefault="009E2720" w:rsidP="00696578">
      <w:pPr>
        <w:jc w:val="both"/>
        <w:rPr>
          <w:rFonts w:ascii="Tahoma" w:hAnsi="Tahoma" w:cs="Tahoma"/>
          <w:b/>
          <w:sz w:val="28"/>
          <w:szCs w:val="28"/>
          <w:u w:val="single"/>
          <w:lang w:val="es-ES_tradnl"/>
        </w:rPr>
      </w:pPr>
    </w:p>
    <w:p w:rsidR="00F81935" w:rsidRPr="00F81935" w:rsidRDefault="00F81935" w:rsidP="00696578">
      <w:pPr>
        <w:tabs>
          <w:tab w:val="left" w:pos="915"/>
        </w:tabs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>Los socios sólo podrán ser sancionados por las faltas previamente tipificadas. Solamente podrán tener la consideración de faltas graves y muy graves las tipificadas y clasificadas como tales en estos Estatutos. Las faltas leves, además de en los estatutos, también podrán ser tipificadas en el Reglamento de régimen interno o por acuerdo de la Asamblea General.</w:t>
      </w:r>
    </w:p>
    <w:p w:rsidR="009E2720" w:rsidRDefault="009E2720" w:rsidP="00696578">
      <w:pPr>
        <w:tabs>
          <w:tab w:val="left" w:pos="915"/>
        </w:tabs>
        <w:jc w:val="both"/>
        <w:rPr>
          <w:rFonts w:ascii="Tahoma" w:hAnsi="Tahoma" w:cs="Tahoma"/>
          <w:b/>
          <w:sz w:val="28"/>
          <w:szCs w:val="32"/>
          <w:u w:val="single"/>
          <w:lang w:val="es-ES_tradnl"/>
        </w:rPr>
      </w:pPr>
    </w:p>
    <w:p w:rsidR="00F81935" w:rsidRDefault="00F81935" w:rsidP="00696578">
      <w:pPr>
        <w:tabs>
          <w:tab w:val="left" w:pos="915"/>
        </w:tabs>
        <w:jc w:val="both"/>
        <w:rPr>
          <w:rFonts w:ascii="Tahoma" w:hAnsi="Tahoma" w:cs="Tahoma"/>
          <w:b/>
          <w:sz w:val="28"/>
          <w:szCs w:val="32"/>
          <w:u w:val="single"/>
          <w:lang w:val="es-ES_tradnl"/>
        </w:rPr>
      </w:pPr>
      <w:r w:rsidRPr="009E2720">
        <w:rPr>
          <w:rFonts w:ascii="Tahoma" w:hAnsi="Tahoma" w:cs="Tahoma"/>
          <w:b/>
          <w:sz w:val="28"/>
          <w:szCs w:val="32"/>
          <w:u w:val="single"/>
          <w:lang w:val="es-ES_tradnl"/>
        </w:rPr>
        <w:t>Artículo 13:</w:t>
      </w:r>
    </w:p>
    <w:p w:rsidR="009E2720" w:rsidRPr="009E2720" w:rsidRDefault="009E2720" w:rsidP="00696578">
      <w:pPr>
        <w:tabs>
          <w:tab w:val="left" w:pos="915"/>
        </w:tabs>
        <w:jc w:val="both"/>
        <w:rPr>
          <w:rFonts w:ascii="Tahoma" w:hAnsi="Tahoma" w:cs="Tahoma"/>
          <w:b/>
          <w:sz w:val="28"/>
          <w:szCs w:val="32"/>
          <w:u w:val="single"/>
          <w:lang w:val="es-ES_tradnl"/>
        </w:rPr>
      </w:pP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 Solamente podrá imponerse a los socios las sanciones que, para cada clase de faltas, estén establecidas en los Estatutos.</w:t>
      </w:r>
    </w:p>
    <w:p w:rsidR="009E2720" w:rsidRDefault="009E2720" w:rsidP="00696578">
      <w:pPr>
        <w:jc w:val="both"/>
        <w:rPr>
          <w:rFonts w:ascii="Tahoma" w:hAnsi="Tahoma" w:cs="Tahoma"/>
          <w:b/>
          <w:sz w:val="28"/>
          <w:szCs w:val="28"/>
          <w:u w:val="single"/>
          <w:lang w:val="es-ES_tradnl"/>
        </w:rPr>
      </w:pPr>
    </w:p>
    <w:p w:rsidR="00F81935" w:rsidRDefault="00F81935" w:rsidP="00696578">
      <w:pPr>
        <w:jc w:val="both"/>
        <w:rPr>
          <w:rFonts w:ascii="Tahoma" w:hAnsi="Tahoma" w:cs="Tahoma"/>
          <w:b/>
          <w:sz w:val="28"/>
          <w:szCs w:val="28"/>
          <w:u w:val="single"/>
          <w:lang w:val="es-ES_tradnl"/>
        </w:rPr>
      </w:pPr>
      <w:r w:rsidRPr="009E2720">
        <w:rPr>
          <w:rFonts w:ascii="Tahoma" w:hAnsi="Tahoma" w:cs="Tahoma"/>
          <w:b/>
          <w:sz w:val="28"/>
          <w:szCs w:val="28"/>
          <w:u w:val="single"/>
          <w:lang w:val="es-ES_tradnl"/>
        </w:rPr>
        <w:t>Faltas: Artículo</w:t>
      </w:r>
      <w:r w:rsidRPr="009E2720">
        <w:rPr>
          <w:rFonts w:ascii="Tahoma" w:hAnsi="Tahoma" w:cs="Tahoma"/>
          <w:b/>
          <w:sz w:val="28"/>
          <w:szCs w:val="28"/>
          <w:u w:val="single"/>
          <w:lang w:val="es-ES_tradnl"/>
        </w:rPr>
        <w:t xml:space="preserve"> 14:</w:t>
      </w:r>
    </w:p>
    <w:p w:rsidR="009E2720" w:rsidRPr="009E2720" w:rsidRDefault="009E2720" w:rsidP="00696578">
      <w:pPr>
        <w:jc w:val="both"/>
        <w:rPr>
          <w:rFonts w:ascii="Tahoma" w:hAnsi="Tahoma" w:cs="Tahoma"/>
          <w:b/>
          <w:sz w:val="28"/>
          <w:szCs w:val="28"/>
          <w:u w:val="single"/>
          <w:lang w:val="es-ES_tradnl"/>
        </w:rPr>
      </w:pPr>
    </w:p>
    <w:p w:rsidR="00F81935" w:rsidRPr="00F81935" w:rsidRDefault="00F81935" w:rsidP="00696578">
      <w:pPr>
        <w:jc w:val="both"/>
        <w:rPr>
          <w:rFonts w:ascii="Comic Sans MS" w:hAnsi="Comic Sans MS"/>
          <w:sz w:val="32"/>
          <w:szCs w:val="32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1.- Son faltas muy graves: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>a) El fraude, la deslealtad y el abuso de confianza en las gestiones encomendadas, así como cualquier conducta constitutiva de delito.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>b) El fraude en las aportaciones al capital social, así como la manifiesta desconsideración a los rectores y representantes de la entidad, que perjudiquen los intereses materiales o el prestigio social de la Cooperativa.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>c) La falsificación de documentos, firmas, estampillas, sellos, marcas, claves o datos análogos, relevantes para la relación de la Cooperativa con sus socios o con terceros.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d) La no participación en la actividad de la Cooperativa mediante su personal trabajo.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e) El incumplimiento de las obligaciones económicas con la Cooperativa.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f) Prevalerse de la condición de socio para desarrollar actividades contrarias a las leyes.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2.- Son faltas graves: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a) La inasistencia injustificada a las Asambleas Generales debidamente convocadas cuando el socio haya sido sancionado dos veces por falta leve por no asistir a las reuniones de dicho órgano social en los últimos cinco años.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b) Los malos tratos de palabra o de obra a otros socios con ocasión de reuniones de los órganos sociales.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c) Los malos tratos de palabra o de obra a otros socios trabajadores o a los asalariados de la Cooperativa, con ocasión de la prestación del trabajo.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d) La desconsideración con el público en el ejercicio del trabajo. </w:t>
      </w:r>
    </w:p>
    <w:p w:rsidR="009E2720" w:rsidRDefault="009E2720" w:rsidP="00696578">
      <w:pPr>
        <w:jc w:val="both"/>
        <w:rPr>
          <w:rFonts w:ascii="Comic Sans MS" w:hAnsi="Comic Sans MS"/>
          <w:lang w:val="es-ES_tradnl"/>
        </w:rPr>
      </w:pPr>
    </w:p>
    <w:p w:rsidR="009E2720" w:rsidRDefault="009E2720" w:rsidP="00696578">
      <w:pPr>
        <w:jc w:val="both"/>
        <w:rPr>
          <w:rFonts w:ascii="Comic Sans MS" w:hAnsi="Comic Sans MS"/>
          <w:lang w:val="es-ES_tradnl"/>
        </w:rPr>
      </w:pP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lastRenderedPageBreak/>
        <w:t xml:space="preserve">3) Son faltas leves: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a) La falta de asistencia no justificada a las sesiones de la Asamblea General a las que el socio fuese convocado en debida forma. </w:t>
      </w:r>
    </w:p>
    <w:p w:rsidR="009E2720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b) La ligera incorrección con el público, con los otros socios trabajadores o con los asalariados de la Cooperativa.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>c) El retraso, negligencia o descuido en el cumplimento de sus tareas.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</w:p>
    <w:p w:rsidR="00F81935" w:rsidRPr="00F81935" w:rsidRDefault="00F81935" w:rsidP="00696578">
      <w:pPr>
        <w:jc w:val="both"/>
        <w:rPr>
          <w:rFonts w:ascii="Comic Sans MS" w:hAnsi="Comic Sans MS"/>
          <w:b/>
          <w:sz w:val="44"/>
          <w:szCs w:val="44"/>
          <w:u w:val="single"/>
          <w:lang w:val="es-ES_tradnl"/>
        </w:rPr>
      </w:pPr>
      <w:r w:rsidRPr="00F81935">
        <w:rPr>
          <w:rFonts w:ascii="Comic Sans MS" w:hAnsi="Comic Sans MS"/>
          <w:b/>
          <w:sz w:val="44"/>
          <w:szCs w:val="44"/>
          <w:u w:val="single"/>
          <w:lang w:val="es-ES_tradnl"/>
        </w:rPr>
        <w:t>Capítulo 3:</w:t>
      </w:r>
      <w:r w:rsidRPr="00F81935">
        <w:rPr>
          <w:rFonts w:ascii="Comic Sans MS" w:hAnsi="Comic Sans MS"/>
          <w:b/>
          <w:sz w:val="44"/>
          <w:szCs w:val="44"/>
          <w:lang w:val="es-ES_tradnl"/>
        </w:rPr>
        <w:tab/>
      </w:r>
    </w:p>
    <w:p w:rsidR="00F81935" w:rsidRPr="00F81935" w:rsidRDefault="00F81935" w:rsidP="00696578">
      <w:pPr>
        <w:jc w:val="both"/>
        <w:rPr>
          <w:rFonts w:ascii="Comic Sans MS" w:hAnsi="Comic Sans MS"/>
          <w:b/>
          <w:sz w:val="40"/>
          <w:szCs w:val="40"/>
          <w:u w:val="single"/>
          <w:lang w:val="es-ES_tradnl"/>
        </w:rPr>
      </w:pPr>
      <w:r w:rsidRPr="00F81935">
        <w:rPr>
          <w:rFonts w:ascii="Comic Sans MS" w:hAnsi="Comic Sans MS"/>
          <w:b/>
          <w:sz w:val="40"/>
          <w:szCs w:val="40"/>
          <w:u w:val="single"/>
          <w:lang w:val="es-ES_tradnl"/>
        </w:rPr>
        <w:t xml:space="preserve">Órganos De La Sociedad </w:t>
      </w:r>
    </w:p>
    <w:p w:rsidR="00F81935" w:rsidRPr="00F81935" w:rsidRDefault="00F81935" w:rsidP="00696578">
      <w:pPr>
        <w:jc w:val="both"/>
        <w:rPr>
          <w:rFonts w:ascii="Comic Sans MS" w:hAnsi="Comic Sans MS"/>
          <w:b/>
          <w:u w:val="single"/>
          <w:lang w:val="es-ES_tradnl"/>
        </w:rPr>
      </w:pPr>
    </w:p>
    <w:p w:rsidR="00F81935" w:rsidRPr="00F81935" w:rsidRDefault="00F81935" w:rsidP="00696578">
      <w:pPr>
        <w:jc w:val="both"/>
        <w:rPr>
          <w:rFonts w:ascii="Tahoma" w:hAnsi="Tahoma" w:cs="Tahoma"/>
          <w:b/>
          <w:sz w:val="36"/>
          <w:szCs w:val="32"/>
          <w:lang w:val="es-ES_tradnl"/>
        </w:rPr>
      </w:pPr>
      <w:r w:rsidRPr="00F81935">
        <w:rPr>
          <w:rFonts w:ascii="Tahoma" w:hAnsi="Tahoma" w:cs="Tahoma"/>
          <w:b/>
          <w:sz w:val="32"/>
          <w:szCs w:val="32"/>
          <w:u w:val="single"/>
          <w:lang w:val="es-ES_tradnl"/>
        </w:rPr>
        <w:t xml:space="preserve">Artículo 15: </w:t>
      </w:r>
      <w:r w:rsidRPr="00F81935">
        <w:rPr>
          <w:rFonts w:ascii="Tahoma" w:hAnsi="Tahoma" w:cs="Tahoma"/>
          <w:b/>
          <w:sz w:val="28"/>
          <w:u w:val="single"/>
          <w:lang w:val="es-ES_tradnl"/>
        </w:rPr>
        <w:t xml:space="preserve">Composición y </w:t>
      </w:r>
      <w:r w:rsidRPr="00F81935">
        <w:rPr>
          <w:rFonts w:ascii="Tahoma" w:hAnsi="Tahoma" w:cs="Tahoma"/>
          <w:b/>
          <w:sz w:val="28"/>
          <w:u w:val="single"/>
          <w:lang w:val="es-ES_tradnl"/>
        </w:rPr>
        <w:t>clases:</w:t>
      </w:r>
    </w:p>
    <w:p w:rsidR="00F81935" w:rsidRDefault="00F81935" w:rsidP="00696578">
      <w:pPr>
        <w:jc w:val="both"/>
        <w:rPr>
          <w:rFonts w:ascii="Comic Sans MS" w:hAnsi="Comic Sans MS"/>
          <w:lang w:val="es-ES_tradnl"/>
        </w:rPr>
      </w:pPr>
    </w:p>
    <w:p w:rsid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1) La Asamblea General, constituida válidamente, es la reunión de todos los socios trabajadores para deliberar y tomar acuerdos, como órgano supremo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de expresión de la voluntad social. </w:t>
      </w:r>
    </w:p>
    <w:p w:rsidR="00F81935" w:rsidRDefault="00F81935" w:rsidP="00696578">
      <w:pPr>
        <w:jc w:val="both"/>
        <w:rPr>
          <w:rFonts w:ascii="Comic Sans MS" w:hAnsi="Comic Sans MS"/>
          <w:lang w:val="es-ES_tradnl"/>
        </w:rPr>
      </w:pP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2) Los acuerdos de la Asamblea General, adoptados conforme a las normas y a estos Estatutos, obligan a todos los socios trabajadores, incluso a los disidentes y a los que no hayan participado en la reunión a cumplir los acuerdos adoptados. </w:t>
      </w:r>
    </w:p>
    <w:p w:rsidR="00F81935" w:rsidRDefault="00F81935" w:rsidP="00696578">
      <w:pPr>
        <w:jc w:val="both"/>
        <w:rPr>
          <w:rFonts w:ascii="Comic Sans MS" w:hAnsi="Comic Sans MS"/>
          <w:lang w:val="es-ES_tradnl"/>
        </w:rPr>
      </w:pP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>3) Las Asambleas Generales podrán ser ordinarias o extraordinarias.</w:t>
      </w:r>
    </w:p>
    <w:p w:rsidR="00F81935" w:rsidRDefault="00F81935" w:rsidP="00696578">
      <w:pPr>
        <w:jc w:val="both"/>
        <w:rPr>
          <w:rFonts w:ascii="Comic Sans MS" w:hAnsi="Comic Sans MS"/>
          <w:lang w:val="es-ES_tradnl"/>
        </w:rPr>
      </w:pP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>4) Los miembros de “Los24desiempre” han elegido a sus representantes en el Consejo de Administración de la misma, que son:</w:t>
      </w:r>
    </w:p>
    <w:p w:rsidR="009E2720" w:rsidRDefault="009E2720" w:rsidP="00696578">
      <w:pPr>
        <w:jc w:val="both"/>
        <w:rPr>
          <w:rFonts w:ascii="Comic Sans MS" w:hAnsi="Comic Sans MS"/>
          <w:b/>
          <w:lang w:val="es-ES_tradnl"/>
        </w:rPr>
      </w:pP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b/>
          <w:lang w:val="es-ES_tradnl"/>
        </w:rPr>
        <w:t>Presidente</w:t>
      </w:r>
      <w:r w:rsidRPr="00F81935">
        <w:rPr>
          <w:rFonts w:ascii="Comic Sans MS" w:hAnsi="Comic Sans MS"/>
          <w:lang w:val="es-ES_tradnl"/>
        </w:rPr>
        <w:t>:</w:t>
      </w:r>
      <w:r>
        <w:rPr>
          <w:rFonts w:ascii="Comic Sans MS" w:hAnsi="Comic Sans MS"/>
          <w:lang w:val="es-ES_tradnl"/>
        </w:rPr>
        <w:t xml:space="preserve"> </w:t>
      </w:r>
      <w:r w:rsidRPr="00F81935">
        <w:rPr>
          <w:rFonts w:ascii="Comic Sans MS" w:hAnsi="Comic Sans MS"/>
          <w:lang w:val="es-ES_tradnl"/>
        </w:rPr>
        <w:t>Andrea Serrano Díaz.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b/>
          <w:lang w:val="es-ES_tradnl"/>
        </w:rPr>
        <w:t>Vicepresidente</w:t>
      </w:r>
      <w:r w:rsidRPr="00F81935">
        <w:rPr>
          <w:rFonts w:ascii="Comic Sans MS" w:hAnsi="Comic Sans MS"/>
          <w:lang w:val="es-ES_tradnl"/>
        </w:rPr>
        <w:t>: Javier Campillo.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b/>
          <w:lang w:val="es-ES_tradnl"/>
        </w:rPr>
        <w:t>Tesorero</w:t>
      </w:r>
      <w:r w:rsidRPr="00F81935">
        <w:rPr>
          <w:rFonts w:ascii="Comic Sans MS" w:hAnsi="Comic Sans MS"/>
          <w:lang w:val="es-ES_tradnl"/>
        </w:rPr>
        <w:t>: Ariadna Isabel Ortega.</w:t>
      </w:r>
    </w:p>
    <w:p w:rsidR="009E2720" w:rsidRDefault="009E2720" w:rsidP="00696578">
      <w:pPr>
        <w:jc w:val="both"/>
        <w:rPr>
          <w:rFonts w:ascii="Comic Sans MS" w:hAnsi="Comic Sans MS"/>
          <w:lang w:val="es-ES_tradnl"/>
        </w:rPr>
      </w:pP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Con posterioridad se eligieron a los coordinadores de </w:t>
      </w:r>
      <w:r w:rsidRPr="00F81935">
        <w:rPr>
          <w:rFonts w:ascii="Comic Sans MS" w:hAnsi="Comic Sans MS"/>
          <w:lang w:val="es-ES_tradnl"/>
        </w:rPr>
        <w:t>los</w:t>
      </w:r>
      <w:r w:rsidRPr="00F81935">
        <w:rPr>
          <w:rFonts w:ascii="Comic Sans MS" w:hAnsi="Comic Sans MS"/>
          <w:lang w:val="es-ES_tradnl"/>
        </w:rPr>
        <w:t xml:space="preserve"> diferentes departamentos funcionales de la empresa: </w:t>
      </w:r>
    </w:p>
    <w:p w:rsidR="00F81935" w:rsidRDefault="00F81935" w:rsidP="00696578">
      <w:pPr>
        <w:jc w:val="both"/>
        <w:rPr>
          <w:rFonts w:ascii="Comic Sans MS" w:hAnsi="Comic Sans MS"/>
          <w:lang w:val="es-ES_tradnl"/>
        </w:rPr>
      </w:pP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- Coordinador Compra-venta.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- Coordinador de Producción.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- Coordinador de Contabilidad.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 xml:space="preserve">- Coordinador de Comunicación. 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>- Coordinador de Marketing.</w:t>
      </w: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</w:p>
    <w:p w:rsidR="00F81935" w:rsidRPr="00F81935" w:rsidRDefault="00F81935" w:rsidP="00696578">
      <w:pPr>
        <w:jc w:val="both"/>
        <w:rPr>
          <w:rFonts w:ascii="Comic Sans MS" w:hAnsi="Comic Sans MS"/>
          <w:lang w:val="es-ES_tradnl"/>
        </w:rPr>
      </w:pPr>
      <w:r w:rsidRPr="00F81935">
        <w:rPr>
          <w:rFonts w:ascii="Comic Sans MS" w:hAnsi="Comic Sans MS"/>
          <w:lang w:val="es-ES_tradnl"/>
        </w:rPr>
        <w:t>Esto puede variar a lo largo de la duración del curso escolar 2013/2014</w:t>
      </w:r>
    </w:p>
    <w:p w:rsidR="00F6214F" w:rsidRPr="00F81935" w:rsidRDefault="00F6214F">
      <w:pPr>
        <w:rPr>
          <w:rFonts w:ascii="Comic Sans MS" w:hAnsi="Comic Sans MS"/>
          <w:lang w:val="es-ES_tradnl"/>
        </w:rPr>
      </w:pPr>
    </w:p>
    <w:sectPr w:rsidR="00F6214F" w:rsidRPr="00F81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4D6"/>
    <w:multiLevelType w:val="hybridMultilevel"/>
    <w:tmpl w:val="C79EADBC"/>
    <w:lvl w:ilvl="0" w:tplc="0C0A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2912154"/>
    <w:multiLevelType w:val="hybridMultilevel"/>
    <w:tmpl w:val="215651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D351B"/>
    <w:multiLevelType w:val="hybridMultilevel"/>
    <w:tmpl w:val="BFB61FA0"/>
    <w:lvl w:ilvl="0" w:tplc="6D885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1465"/>
    <w:multiLevelType w:val="hybridMultilevel"/>
    <w:tmpl w:val="A830E992"/>
    <w:lvl w:ilvl="0" w:tplc="0EA65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037F0F"/>
    <w:multiLevelType w:val="hybridMultilevel"/>
    <w:tmpl w:val="A4DE69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B"/>
    <w:rsid w:val="00696578"/>
    <w:rsid w:val="007C318B"/>
    <w:rsid w:val="009E2720"/>
    <w:rsid w:val="00F6214F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1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19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1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19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1124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CLM</dc:creator>
  <cp:lastModifiedBy>CLM</cp:lastModifiedBy>
  <cp:revision>5</cp:revision>
  <dcterms:created xsi:type="dcterms:W3CDTF">2013-11-11T12:47:00Z</dcterms:created>
  <dcterms:modified xsi:type="dcterms:W3CDTF">2013-11-29T12:20:00Z</dcterms:modified>
</cp:coreProperties>
</file>